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D3EAF5C" w:rsidR="005A7127" w:rsidRPr="00FC3F8A" w:rsidRDefault="001651BC" w:rsidP="001651BC">
      <w:hyperlink r:id="rId7" w:history="1">
        <w:r w:rsidRPr="00EE706E">
          <w:rPr>
            <w:rStyle w:val="Collegamentoipertestuale"/>
          </w:rPr>
          <w:t>https://it.marketscreener.com/notizie/ultimo/Pil-Panetta-tornera-ad-espandersi-dopo-stop-secondo-semestre-2024-49071432/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Pil-Panetta-tornera-ad-espandersi-dopo-stop-secondo-semestre-2024-4907143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2025-02-24T13:21:00Z</dcterms:created>
  <dcterms:modified xsi:type="dcterms:W3CDTF">2025-02-24T13:22:00Z</dcterms:modified>
</cp:coreProperties>
</file>